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63" w:rsidRDefault="00F90C63" w:rsidP="0085016D">
      <w:pPr>
        <w:shd w:val="clear" w:color="auto" w:fill="FFFFFF"/>
        <w:spacing w:after="0" w:line="240" w:lineRule="auto"/>
        <w:rPr>
          <w:rFonts w:eastAsia="Times New Roman" w:cs="Times New Roman"/>
          <w:color w:val="000000"/>
          <w:sz w:val="28"/>
          <w:szCs w:val="28"/>
          <w:lang w:eastAsia="en-GB"/>
        </w:rPr>
      </w:pPr>
      <w:r>
        <w:rPr>
          <w:rFonts w:eastAsia="Times New Roman" w:cs="Times New Roman"/>
          <w:color w:val="000000"/>
          <w:sz w:val="28"/>
          <w:szCs w:val="28"/>
          <w:lang w:eastAsia="en-GB"/>
        </w:rPr>
        <w:t>15/0</w:t>
      </w:r>
      <w:r w:rsidR="00DE50EF">
        <w:rPr>
          <w:rFonts w:eastAsia="Times New Roman" w:cs="Times New Roman"/>
          <w:color w:val="000000"/>
          <w:sz w:val="28"/>
          <w:szCs w:val="28"/>
          <w:lang w:eastAsia="en-GB"/>
        </w:rPr>
        <w:t>6029</w:t>
      </w:r>
      <w:r>
        <w:rPr>
          <w:rFonts w:eastAsia="Times New Roman" w:cs="Times New Roman"/>
          <w:color w:val="000000"/>
          <w:sz w:val="28"/>
          <w:szCs w:val="28"/>
          <w:lang w:eastAsia="en-GB"/>
        </w:rPr>
        <w:t xml:space="preserve">/FUL – </w:t>
      </w:r>
      <w:r w:rsidR="00DE50EF">
        <w:rPr>
          <w:rFonts w:eastAsia="Times New Roman" w:cs="Times New Roman"/>
          <w:color w:val="000000"/>
          <w:sz w:val="28"/>
          <w:szCs w:val="28"/>
          <w:lang w:eastAsia="en-GB"/>
        </w:rPr>
        <w:t>17 Newport St</w:t>
      </w:r>
      <w:r>
        <w:rPr>
          <w:rFonts w:eastAsia="Times New Roman" w:cs="Times New Roman"/>
          <w:color w:val="000000"/>
          <w:sz w:val="28"/>
          <w:szCs w:val="28"/>
          <w:lang w:eastAsia="en-GB"/>
        </w:rPr>
        <w:t xml:space="preserve"> – Representation </w:t>
      </w:r>
      <w:r w:rsidR="00FE1340">
        <w:rPr>
          <w:rFonts w:eastAsia="Times New Roman" w:cs="Times New Roman"/>
          <w:color w:val="000000"/>
          <w:sz w:val="28"/>
          <w:szCs w:val="28"/>
          <w:lang w:eastAsia="en-GB"/>
        </w:rPr>
        <w:t>on behalf of</w:t>
      </w:r>
      <w:r>
        <w:rPr>
          <w:rFonts w:eastAsia="Times New Roman" w:cs="Times New Roman"/>
          <w:color w:val="000000"/>
          <w:sz w:val="28"/>
          <w:szCs w:val="28"/>
          <w:lang w:eastAsia="en-GB"/>
        </w:rPr>
        <w:t xml:space="preserve"> KOVF, the Neighbourhood Plan designated body for the area.</w:t>
      </w:r>
      <w:r w:rsidR="009A7A64">
        <w:rPr>
          <w:rFonts w:eastAsia="Times New Roman" w:cs="Times New Roman"/>
          <w:color w:val="000000"/>
          <w:sz w:val="28"/>
          <w:szCs w:val="28"/>
          <w:lang w:eastAsia="en-GB"/>
        </w:rPr>
        <w:t xml:space="preserve">  </w:t>
      </w:r>
    </w:p>
    <w:p w:rsidR="0085016D" w:rsidRPr="0045292A" w:rsidRDefault="003D66EC" w:rsidP="00DE50EF">
      <w:pPr>
        <w:pStyle w:val="ListParagraph"/>
        <w:numPr>
          <w:ilvl w:val="0"/>
          <w:numId w:val="8"/>
        </w:numPr>
        <w:shd w:val="clear" w:color="auto" w:fill="FFFFFF"/>
        <w:spacing w:after="0" w:line="240" w:lineRule="auto"/>
        <w:rPr>
          <w:rFonts w:eastAsia="Times New Roman" w:cs="Times New Roman"/>
          <w:color w:val="000000"/>
          <w:sz w:val="28"/>
          <w:szCs w:val="28"/>
          <w:lang w:eastAsia="en-GB"/>
        </w:rPr>
      </w:pPr>
      <w:r w:rsidRPr="0045292A">
        <w:rPr>
          <w:rFonts w:eastAsia="Times New Roman" w:cs="Times New Roman"/>
          <w:color w:val="000000"/>
          <w:sz w:val="28"/>
          <w:szCs w:val="28"/>
          <w:lang w:eastAsia="en-GB"/>
        </w:rPr>
        <w:t xml:space="preserve">In Newport St we now have a Stirling Prize winner in the form of Damien </w:t>
      </w:r>
      <w:proofErr w:type="spellStart"/>
      <w:r w:rsidRPr="0045292A">
        <w:rPr>
          <w:rFonts w:eastAsia="Times New Roman" w:cs="Times New Roman"/>
          <w:color w:val="000000"/>
          <w:sz w:val="28"/>
          <w:szCs w:val="28"/>
          <w:lang w:eastAsia="en-GB"/>
        </w:rPr>
        <w:t>Hirst’s</w:t>
      </w:r>
      <w:proofErr w:type="spellEnd"/>
      <w:r w:rsidRPr="0045292A">
        <w:rPr>
          <w:rFonts w:eastAsia="Times New Roman" w:cs="Times New Roman"/>
          <w:color w:val="000000"/>
          <w:sz w:val="28"/>
          <w:szCs w:val="28"/>
          <w:lang w:eastAsia="en-GB"/>
        </w:rPr>
        <w:t xml:space="preserve"> new art gallery</w:t>
      </w:r>
    </w:p>
    <w:p w:rsidR="003D66EC" w:rsidRPr="0045292A" w:rsidRDefault="003D66EC" w:rsidP="00DE50EF">
      <w:pPr>
        <w:pStyle w:val="ListParagraph"/>
        <w:numPr>
          <w:ilvl w:val="0"/>
          <w:numId w:val="8"/>
        </w:numPr>
        <w:shd w:val="clear" w:color="auto" w:fill="FFFFFF"/>
        <w:spacing w:after="0" w:line="240" w:lineRule="auto"/>
        <w:rPr>
          <w:rFonts w:eastAsia="Times New Roman" w:cs="Times New Roman"/>
          <w:color w:val="000000"/>
          <w:sz w:val="28"/>
          <w:szCs w:val="28"/>
          <w:lang w:eastAsia="en-GB"/>
        </w:rPr>
      </w:pPr>
      <w:r w:rsidRPr="0045292A">
        <w:rPr>
          <w:rFonts w:eastAsia="Times New Roman" w:cs="Times New Roman"/>
          <w:color w:val="000000"/>
          <w:sz w:val="28"/>
          <w:szCs w:val="28"/>
          <w:lang w:eastAsia="en-GB"/>
        </w:rPr>
        <w:t xml:space="preserve">As a commentator remarked on 7 Oct “The spatially deft, beautifully crafted building, by architects Caruso St John, is a perfect metaphor for taste in the face of the </w:t>
      </w:r>
      <w:proofErr w:type="spellStart"/>
      <w:r w:rsidRPr="0045292A">
        <w:rPr>
          <w:rFonts w:eastAsia="Times New Roman" w:cs="Times New Roman"/>
          <w:color w:val="000000"/>
          <w:sz w:val="28"/>
          <w:szCs w:val="28"/>
          <w:lang w:eastAsia="en-GB"/>
        </w:rPr>
        <w:t>blinged</w:t>
      </w:r>
      <w:proofErr w:type="spellEnd"/>
      <w:r w:rsidRPr="0045292A">
        <w:rPr>
          <w:rFonts w:eastAsia="Times New Roman" w:cs="Times New Roman"/>
          <w:color w:val="000000"/>
          <w:sz w:val="28"/>
          <w:szCs w:val="28"/>
          <w:lang w:eastAsia="en-GB"/>
        </w:rPr>
        <w:t>-up architectural horror show apartment blocks springing up in the area – architectural degeneration posing as urban regeneration.” [Jay Merrick]</w:t>
      </w:r>
    </w:p>
    <w:p w:rsidR="003D66EC" w:rsidRPr="0045292A" w:rsidRDefault="003D66EC" w:rsidP="00DE50EF">
      <w:pPr>
        <w:pStyle w:val="ListParagraph"/>
        <w:numPr>
          <w:ilvl w:val="0"/>
          <w:numId w:val="8"/>
        </w:numPr>
        <w:shd w:val="clear" w:color="auto" w:fill="FFFFFF"/>
        <w:spacing w:after="0" w:line="240" w:lineRule="auto"/>
        <w:rPr>
          <w:rFonts w:eastAsia="Times New Roman" w:cs="Times New Roman"/>
          <w:color w:val="000000"/>
          <w:sz w:val="28"/>
          <w:szCs w:val="28"/>
          <w:lang w:eastAsia="en-GB"/>
        </w:rPr>
      </w:pPr>
      <w:r w:rsidRPr="0045292A">
        <w:rPr>
          <w:rFonts w:eastAsia="Times New Roman" w:cs="Times New Roman"/>
          <w:color w:val="000000"/>
          <w:sz w:val="28"/>
          <w:szCs w:val="28"/>
          <w:lang w:eastAsia="en-GB"/>
        </w:rPr>
        <w:t xml:space="preserve">And here comes just such a block, the subject of this application, which has the sheer brass </w:t>
      </w:r>
      <w:proofErr w:type="spellStart"/>
      <w:r w:rsidRPr="0045292A">
        <w:rPr>
          <w:rFonts w:eastAsia="Times New Roman" w:cs="Times New Roman"/>
          <w:color w:val="000000"/>
          <w:sz w:val="28"/>
          <w:szCs w:val="28"/>
          <w:lang w:eastAsia="en-GB"/>
        </w:rPr>
        <w:t>kneck</w:t>
      </w:r>
      <w:proofErr w:type="spellEnd"/>
      <w:r w:rsidRPr="0045292A">
        <w:rPr>
          <w:rFonts w:eastAsia="Times New Roman" w:cs="Times New Roman"/>
          <w:color w:val="000000"/>
          <w:sz w:val="28"/>
          <w:szCs w:val="28"/>
          <w:lang w:eastAsia="en-GB"/>
        </w:rPr>
        <w:t xml:space="preserve"> to claim (D&amp;A Statement para </w:t>
      </w:r>
      <w:r w:rsidR="00FE1340">
        <w:rPr>
          <w:rFonts w:eastAsia="Times New Roman" w:cs="Times New Roman"/>
          <w:color w:val="000000"/>
          <w:sz w:val="28"/>
          <w:szCs w:val="28"/>
          <w:lang w:eastAsia="en-GB"/>
        </w:rPr>
        <w:t>1.2 aspiration 3</w:t>
      </w:r>
      <w:r w:rsidRPr="0045292A">
        <w:rPr>
          <w:rFonts w:eastAsia="Times New Roman" w:cs="Times New Roman"/>
          <w:color w:val="000000"/>
          <w:sz w:val="28"/>
          <w:szCs w:val="28"/>
          <w:lang w:eastAsia="en-GB"/>
        </w:rPr>
        <w:t xml:space="preserve">) to be </w:t>
      </w:r>
      <w:r w:rsidR="00FE1340">
        <w:rPr>
          <w:rFonts w:eastAsia="Times New Roman" w:cs="Times New Roman"/>
          <w:color w:val="000000"/>
          <w:sz w:val="28"/>
          <w:szCs w:val="28"/>
          <w:lang w:eastAsia="en-GB"/>
        </w:rPr>
        <w:t xml:space="preserve">“a beacon”, </w:t>
      </w:r>
      <w:r w:rsidRPr="0045292A">
        <w:rPr>
          <w:rFonts w:eastAsia="Times New Roman" w:cs="Times New Roman"/>
          <w:color w:val="000000"/>
          <w:sz w:val="28"/>
          <w:szCs w:val="28"/>
          <w:lang w:eastAsia="en-GB"/>
        </w:rPr>
        <w:t xml:space="preserve">signposting the way to </w:t>
      </w:r>
      <w:proofErr w:type="spellStart"/>
      <w:r w:rsidRPr="0045292A">
        <w:rPr>
          <w:rFonts w:eastAsia="Times New Roman" w:cs="Times New Roman"/>
          <w:color w:val="000000"/>
          <w:sz w:val="28"/>
          <w:szCs w:val="28"/>
          <w:lang w:eastAsia="en-GB"/>
        </w:rPr>
        <w:t>Hirst’s</w:t>
      </w:r>
      <w:proofErr w:type="spellEnd"/>
      <w:r w:rsidRPr="0045292A">
        <w:rPr>
          <w:rFonts w:eastAsia="Times New Roman" w:cs="Times New Roman"/>
          <w:color w:val="000000"/>
          <w:sz w:val="28"/>
          <w:szCs w:val="28"/>
          <w:lang w:eastAsia="en-GB"/>
        </w:rPr>
        <w:t xml:space="preserve"> Gallery!</w:t>
      </w:r>
    </w:p>
    <w:p w:rsidR="00BD54EA" w:rsidRDefault="003D66EC" w:rsidP="00DE50EF">
      <w:pPr>
        <w:pStyle w:val="ListParagraph"/>
        <w:numPr>
          <w:ilvl w:val="0"/>
          <w:numId w:val="8"/>
        </w:numPr>
        <w:shd w:val="clear" w:color="auto" w:fill="FFFFFF"/>
        <w:spacing w:after="0" w:line="240" w:lineRule="auto"/>
        <w:rPr>
          <w:rFonts w:eastAsia="Times New Roman" w:cs="Times New Roman"/>
          <w:color w:val="000000"/>
          <w:sz w:val="28"/>
          <w:szCs w:val="28"/>
          <w:lang w:eastAsia="en-GB"/>
        </w:rPr>
      </w:pPr>
      <w:r w:rsidRPr="0045292A">
        <w:rPr>
          <w:rFonts w:eastAsia="Times New Roman" w:cs="Times New Roman"/>
          <w:color w:val="000000"/>
          <w:sz w:val="28"/>
          <w:szCs w:val="28"/>
          <w:lang w:eastAsia="en-GB"/>
        </w:rPr>
        <w:t xml:space="preserve">Officers are right to recommend refusal, </w:t>
      </w:r>
      <w:r w:rsidR="00FE1340">
        <w:rPr>
          <w:rFonts w:eastAsia="Times New Roman" w:cs="Times New Roman"/>
          <w:color w:val="000000"/>
          <w:sz w:val="28"/>
          <w:szCs w:val="28"/>
          <w:lang w:eastAsia="en-GB"/>
        </w:rPr>
        <w:t>echoing the concerns of English Heritage about impac</w:t>
      </w:r>
      <w:r w:rsidR="00BD54EA">
        <w:rPr>
          <w:rFonts w:eastAsia="Times New Roman" w:cs="Times New Roman"/>
          <w:color w:val="000000"/>
          <w:sz w:val="28"/>
          <w:szCs w:val="28"/>
          <w:lang w:eastAsia="en-GB"/>
        </w:rPr>
        <w:t>t on views and heritage assets. This is consistent with the Council’s declared position on the negative impact on the setting of the Kennington Conservation Area of high rise tower blocks (</w:t>
      </w:r>
      <w:proofErr w:type="spellStart"/>
      <w:r w:rsidR="00BD54EA">
        <w:rPr>
          <w:rFonts w:eastAsia="Times New Roman" w:cs="Times New Roman"/>
          <w:color w:val="000000"/>
          <w:sz w:val="28"/>
          <w:szCs w:val="28"/>
          <w:lang w:eastAsia="en-GB"/>
        </w:rPr>
        <w:t>eg</w:t>
      </w:r>
      <w:proofErr w:type="spellEnd"/>
      <w:r w:rsidR="00BD54EA">
        <w:rPr>
          <w:rFonts w:eastAsia="Times New Roman" w:cs="Times New Roman"/>
          <w:color w:val="000000"/>
          <w:sz w:val="28"/>
          <w:szCs w:val="28"/>
          <w:lang w:eastAsia="en-GB"/>
        </w:rPr>
        <w:t xml:space="preserve"> CA Statement paras 2.22, 2.32)</w:t>
      </w:r>
    </w:p>
    <w:p w:rsidR="003D66EC" w:rsidRPr="00BD54EA" w:rsidRDefault="00BD54EA" w:rsidP="00DE50EF">
      <w:pPr>
        <w:pStyle w:val="ListParagraph"/>
        <w:numPr>
          <w:ilvl w:val="0"/>
          <w:numId w:val="8"/>
        </w:numPr>
        <w:shd w:val="clear" w:color="auto" w:fill="FFFFFF"/>
        <w:spacing w:after="0" w:line="240" w:lineRule="auto"/>
        <w:rPr>
          <w:rFonts w:eastAsia="Times New Roman" w:cs="Times New Roman"/>
          <w:b/>
          <w:color w:val="000000"/>
          <w:sz w:val="28"/>
          <w:szCs w:val="28"/>
          <w:lang w:eastAsia="en-GB"/>
        </w:rPr>
      </w:pPr>
      <w:r>
        <w:rPr>
          <w:rFonts w:eastAsia="Times New Roman" w:cs="Times New Roman"/>
          <w:color w:val="000000"/>
          <w:sz w:val="28"/>
          <w:szCs w:val="28"/>
          <w:lang w:eastAsia="en-GB"/>
        </w:rPr>
        <w:t>But</w:t>
      </w:r>
      <w:r w:rsidR="003D66EC" w:rsidRPr="0045292A">
        <w:rPr>
          <w:rFonts w:eastAsia="Times New Roman" w:cs="Times New Roman"/>
          <w:color w:val="000000"/>
          <w:sz w:val="28"/>
          <w:szCs w:val="28"/>
          <w:lang w:eastAsia="en-GB"/>
        </w:rPr>
        <w:t xml:space="preserve"> the suggested </w:t>
      </w:r>
      <w:r w:rsidR="003D66EC" w:rsidRPr="00BD54EA">
        <w:rPr>
          <w:rFonts w:eastAsia="Times New Roman" w:cs="Times New Roman"/>
          <w:b/>
          <w:color w:val="000000"/>
          <w:sz w:val="28"/>
          <w:szCs w:val="28"/>
          <w:lang w:eastAsia="en-GB"/>
        </w:rPr>
        <w:t xml:space="preserve">grounds </w:t>
      </w:r>
      <w:r w:rsidR="003D66EC" w:rsidRPr="0045292A">
        <w:rPr>
          <w:rFonts w:eastAsia="Times New Roman" w:cs="Times New Roman"/>
          <w:color w:val="000000"/>
          <w:sz w:val="28"/>
          <w:szCs w:val="28"/>
          <w:lang w:eastAsia="en-GB"/>
        </w:rPr>
        <w:t>are weak if you a</w:t>
      </w:r>
      <w:r w:rsidR="00FE1340">
        <w:rPr>
          <w:rFonts w:eastAsia="Times New Roman" w:cs="Times New Roman"/>
          <w:color w:val="000000"/>
          <w:sz w:val="28"/>
          <w:szCs w:val="28"/>
          <w:lang w:eastAsia="en-GB"/>
        </w:rPr>
        <w:t>ctually wish to win any appeal</w:t>
      </w:r>
      <w:r>
        <w:rPr>
          <w:rFonts w:eastAsia="Times New Roman" w:cs="Times New Roman"/>
          <w:color w:val="000000"/>
          <w:sz w:val="28"/>
          <w:szCs w:val="28"/>
          <w:lang w:eastAsia="en-GB"/>
        </w:rPr>
        <w:t xml:space="preserve">, and </w:t>
      </w:r>
      <w:r w:rsidRPr="00BD54EA">
        <w:rPr>
          <w:rFonts w:eastAsia="Times New Roman" w:cs="Times New Roman"/>
          <w:b/>
          <w:color w:val="000000"/>
          <w:sz w:val="28"/>
          <w:szCs w:val="28"/>
          <w:lang w:eastAsia="en-GB"/>
        </w:rPr>
        <w:t xml:space="preserve">should be supplemented as regards the sheer dominating bulk of the proposed tower, </w:t>
      </w:r>
      <w:proofErr w:type="spellStart"/>
      <w:r>
        <w:rPr>
          <w:rFonts w:eastAsia="Times New Roman" w:cs="Times New Roman"/>
          <w:b/>
          <w:color w:val="000000"/>
          <w:sz w:val="28"/>
          <w:szCs w:val="28"/>
          <w:lang w:eastAsia="en-GB"/>
        </w:rPr>
        <w:t>its</w:t>
      </w:r>
      <w:proofErr w:type="spellEnd"/>
      <w:r>
        <w:rPr>
          <w:rFonts w:eastAsia="Times New Roman" w:cs="Times New Roman"/>
          <w:b/>
          <w:color w:val="000000"/>
          <w:sz w:val="28"/>
          <w:szCs w:val="28"/>
          <w:lang w:eastAsia="en-GB"/>
        </w:rPr>
        <w:t xml:space="preserve"> inappropriate, precedent creating, breakout from the VNEB Opportunity Area </w:t>
      </w:r>
      <w:r w:rsidRPr="00BD54EA">
        <w:rPr>
          <w:rFonts w:eastAsia="Times New Roman" w:cs="Times New Roman"/>
          <w:b/>
          <w:color w:val="000000"/>
          <w:sz w:val="28"/>
          <w:szCs w:val="28"/>
          <w:lang w:eastAsia="en-GB"/>
        </w:rPr>
        <w:t>and the inadequacy of the affordable housing offer</w:t>
      </w:r>
    </w:p>
    <w:p w:rsidR="00FE1340" w:rsidRDefault="003538D0" w:rsidP="00DE50EF">
      <w:pPr>
        <w:pStyle w:val="ListParagraph"/>
        <w:numPr>
          <w:ilvl w:val="0"/>
          <w:numId w:val="8"/>
        </w:numPr>
        <w:shd w:val="clear" w:color="auto" w:fill="FFFFFF"/>
        <w:spacing w:after="0" w:line="240" w:lineRule="auto"/>
        <w:rPr>
          <w:rFonts w:eastAsia="Times New Roman" w:cs="Times New Roman"/>
          <w:color w:val="000000"/>
          <w:sz w:val="28"/>
          <w:szCs w:val="28"/>
          <w:lang w:eastAsia="en-GB"/>
        </w:rPr>
      </w:pPr>
      <w:r>
        <w:rPr>
          <w:rFonts w:eastAsia="Times New Roman" w:cs="Times New Roman"/>
          <w:color w:val="000000"/>
          <w:sz w:val="28"/>
          <w:szCs w:val="28"/>
          <w:lang w:eastAsia="en-GB"/>
        </w:rPr>
        <w:t xml:space="preserve">You only have to look at the front cover of the Design &amp; Access Statement to see that this is an </w:t>
      </w:r>
      <w:r w:rsidRPr="008144AD">
        <w:rPr>
          <w:rFonts w:eastAsia="Times New Roman" w:cs="Times New Roman"/>
          <w:b/>
          <w:color w:val="000000"/>
          <w:sz w:val="28"/>
          <w:szCs w:val="28"/>
          <w:lang w:eastAsia="en-GB"/>
        </w:rPr>
        <w:t>overbearing bludgeon</w:t>
      </w:r>
      <w:r>
        <w:rPr>
          <w:rFonts w:eastAsia="Times New Roman" w:cs="Times New Roman"/>
          <w:color w:val="000000"/>
          <w:sz w:val="28"/>
          <w:szCs w:val="28"/>
          <w:lang w:eastAsia="en-GB"/>
        </w:rPr>
        <w:t xml:space="preserve"> of a building, parachuted into its surroundings without regard to neighbouring built forms</w:t>
      </w:r>
      <w:r w:rsidR="00BD54EA">
        <w:rPr>
          <w:rFonts w:eastAsia="Times New Roman" w:cs="Times New Roman"/>
          <w:color w:val="000000"/>
          <w:sz w:val="28"/>
          <w:szCs w:val="28"/>
          <w:lang w:eastAsia="en-GB"/>
        </w:rPr>
        <w:t>. It gives not a fig for local character</w:t>
      </w:r>
      <w:r w:rsidR="008144AD">
        <w:rPr>
          <w:rFonts w:eastAsia="Times New Roman" w:cs="Times New Roman"/>
          <w:color w:val="000000"/>
          <w:sz w:val="28"/>
          <w:szCs w:val="28"/>
          <w:lang w:eastAsia="en-GB"/>
        </w:rPr>
        <w:t xml:space="preserve"> (MALP Policy 7.4), local amenity (Lambeth Local Plan (LLP) Policy Q2), or urban design guidance for new development (LLP Policy Q7). It is oblivious to any impact on neighbouring KIBA businesses, long or short term.</w:t>
      </w:r>
    </w:p>
    <w:p w:rsidR="001C2D1C" w:rsidRPr="0045292A" w:rsidRDefault="001C2D1C" w:rsidP="00DE50EF">
      <w:pPr>
        <w:pStyle w:val="ListParagraph"/>
        <w:numPr>
          <w:ilvl w:val="0"/>
          <w:numId w:val="8"/>
        </w:numPr>
        <w:shd w:val="clear" w:color="auto" w:fill="FFFFFF"/>
        <w:spacing w:after="0" w:line="240" w:lineRule="auto"/>
        <w:rPr>
          <w:rFonts w:eastAsia="Times New Roman" w:cs="Times New Roman"/>
          <w:color w:val="000000"/>
          <w:sz w:val="28"/>
          <w:szCs w:val="28"/>
          <w:lang w:eastAsia="en-GB"/>
        </w:rPr>
      </w:pPr>
      <w:r>
        <w:rPr>
          <w:rFonts w:eastAsia="Times New Roman" w:cs="Times New Roman"/>
          <w:color w:val="000000"/>
          <w:sz w:val="28"/>
          <w:szCs w:val="28"/>
          <w:lang w:eastAsia="en-GB"/>
        </w:rPr>
        <w:t xml:space="preserve">London Plan policy for tall buildings says, in part (MALP Policy 7.7). </w:t>
      </w:r>
    </w:p>
    <w:p w:rsidR="001C2D1C" w:rsidRPr="001C2D1C" w:rsidRDefault="001C2D1C" w:rsidP="001C2D1C">
      <w:pPr>
        <w:pStyle w:val="Default"/>
        <w:ind w:left="1440"/>
        <w:rPr>
          <w:rFonts w:ascii="Times New Roman" w:hAnsi="Times New Roman" w:cs="Times New Roman"/>
        </w:rPr>
      </w:pPr>
      <w:r>
        <w:rPr>
          <w:rFonts w:ascii="Times New Roman" w:hAnsi="Times New Roman" w:cs="Times New Roman"/>
        </w:rPr>
        <w:t>“</w:t>
      </w:r>
      <w:r w:rsidRPr="001C2D1C">
        <w:rPr>
          <w:rFonts w:ascii="Times New Roman" w:hAnsi="Times New Roman" w:cs="Times New Roman"/>
        </w:rPr>
        <w:t xml:space="preserve">Tall and large buildings should not have an unacceptably harmful impact on their surroundings. </w:t>
      </w:r>
    </w:p>
    <w:p w:rsidR="001C2D1C" w:rsidRPr="001C2D1C" w:rsidRDefault="001C2D1C" w:rsidP="001C2D1C">
      <w:pPr>
        <w:pStyle w:val="Default"/>
        <w:ind w:left="1440"/>
        <w:rPr>
          <w:rFonts w:ascii="Times New Roman" w:hAnsi="Times New Roman" w:cs="Times New Roman"/>
        </w:rPr>
      </w:pPr>
      <w:r w:rsidRPr="001C2D1C">
        <w:rPr>
          <w:rFonts w:ascii="Times New Roman" w:hAnsi="Times New Roman" w:cs="Times New Roman"/>
          <w:b/>
          <w:bCs/>
        </w:rPr>
        <w:t xml:space="preserve">Planning decisions </w:t>
      </w:r>
    </w:p>
    <w:p w:rsidR="001C2D1C" w:rsidRPr="001C2D1C" w:rsidRDefault="001C2D1C" w:rsidP="001C2D1C">
      <w:pPr>
        <w:pStyle w:val="Default"/>
        <w:ind w:left="1440"/>
        <w:rPr>
          <w:rFonts w:ascii="Times New Roman" w:hAnsi="Times New Roman" w:cs="Times New Roman"/>
        </w:rPr>
      </w:pPr>
      <w:r w:rsidRPr="001C2D1C">
        <w:rPr>
          <w:rFonts w:ascii="Times New Roman" w:hAnsi="Times New Roman" w:cs="Times New Roman"/>
        </w:rPr>
        <w:t xml:space="preserve">B Applications for tall or large buildings should include an urban design analysis that demonstrates the proposal is part of </w:t>
      </w:r>
      <w:r w:rsidRPr="001C2D1C">
        <w:rPr>
          <w:rFonts w:ascii="Times New Roman" w:hAnsi="Times New Roman" w:cs="Times New Roman"/>
          <w:highlight w:val="yellow"/>
        </w:rPr>
        <w:t>a strategy</w:t>
      </w:r>
      <w:r w:rsidRPr="001C2D1C">
        <w:rPr>
          <w:rFonts w:ascii="Times New Roman" w:hAnsi="Times New Roman" w:cs="Times New Roman"/>
        </w:rPr>
        <w:t xml:space="preserve"> that will meet the criteria below. This is particularly important if the site is not identified as a location for tall or large buildings in the borough’s LDF. </w:t>
      </w:r>
    </w:p>
    <w:p w:rsidR="001C2D1C" w:rsidRPr="001C2D1C" w:rsidRDefault="001C2D1C" w:rsidP="001C2D1C">
      <w:pPr>
        <w:pStyle w:val="Default"/>
        <w:ind w:left="1440"/>
        <w:rPr>
          <w:rFonts w:ascii="Times New Roman" w:hAnsi="Times New Roman" w:cs="Times New Roman"/>
        </w:rPr>
      </w:pPr>
      <w:r w:rsidRPr="001C2D1C">
        <w:rPr>
          <w:rFonts w:ascii="Times New Roman" w:hAnsi="Times New Roman" w:cs="Times New Roman"/>
        </w:rPr>
        <w:t xml:space="preserve">C Tall and large buildings should: </w:t>
      </w:r>
    </w:p>
    <w:p w:rsidR="001C2D1C" w:rsidRPr="001C2D1C" w:rsidRDefault="001C2D1C" w:rsidP="001C2D1C">
      <w:pPr>
        <w:pStyle w:val="Default"/>
        <w:ind w:left="2160"/>
        <w:rPr>
          <w:rFonts w:ascii="Times New Roman" w:hAnsi="Times New Roman" w:cs="Times New Roman"/>
          <w:b/>
        </w:rPr>
      </w:pPr>
      <w:r w:rsidRPr="001C2D1C">
        <w:rPr>
          <w:rFonts w:ascii="Times New Roman" w:hAnsi="Times New Roman" w:cs="Times New Roman"/>
        </w:rPr>
        <w:t xml:space="preserve">a </w:t>
      </w:r>
      <w:r w:rsidRPr="001C2D1C">
        <w:rPr>
          <w:rFonts w:ascii="Times New Roman" w:hAnsi="Times New Roman" w:cs="Times New Roman"/>
          <w:b/>
        </w:rPr>
        <w:t>generally be limited to sites in the Central Activity Zone, opportunity areas, areas of intensification or town</w:t>
      </w:r>
      <w:r w:rsidRPr="001C2D1C">
        <w:rPr>
          <w:rFonts w:ascii="Times New Roman" w:hAnsi="Times New Roman" w:cs="Times New Roman"/>
          <w:b/>
        </w:rPr>
        <w:t xml:space="preserve"> </w:t>
      </w:r>
      <w:r w:rsidRPr="001C2D1C">
        <w:rPr>
          <w:rFonts w:ascii="Times New Roman" w:hAnsi="Times New Roman" w:cs="Times New Roman"/>
          <w:b/>
        </w:rPr>
        <w:t xml:space="preserve">centres that have good access to public transport </w:t>
      </w:r>
    </w:p>
    <w:p w:rsidR="001C2D1C" w:rsidRPr="001C2D1C" w:rsidRDefault="001C2D1C" w:rsidP="001C2D1C">
      <w:pPr>
        <w:pStyle w:val="Default"/>
        <w:ind w:left="2160"/>
        <w:rPr>
          <w:rFonts w:ascii="Times New Roman" w:hAnsi="Times New Roman" w:cs="Times New Roman"/>
        </w:rPr>
      </w:pPr>
      <w:proofErr w:type="gramStart"/>
      <w:r w:rsidRPr="001C2D1C">
        <w:rPr>
          <w:rFonts w:ascii="Times New Roman" w:hAnsi="Times New Roman" w:cs="Times New Roman"/>
        </w:rPr>
        <w:t>b</w:t>
      </w:r>
      <w:proofErr w:type="gramEnd"/>
      <w:r w:rsidRPr="001C2D1C">
        <w:rPr>
          <w:rFonts w:ascii="Times New Roman" w:hAnsi="Times New Roman" w:cs="Times New Roman"/>
        </w:rPr>
        <w:t xml:space="preserve"> only be considered in areas whose character would not be affected adversely by the scale, mass or bulk of a tall or large building </w:t>
      </w:r>
    </w:p>
    <w:p w:rsidR="008144AD" w:rsidRDefault="001C2D1C" w:rsidP="001C2D1C">
      <w:pPr>
        <w:shd w:val="clear" w:color="auto" w:fill="FFFFFF"/>
        <w:spacing w:after="0" w:line="240" w:lineRule="auto"/>
        <w:ind w:left="2160"/>
        <w:rPr>
          <w:rFonts w:cs="Times New Roman"/>
          <w:szCs w:val="24"/>
        </w:rPr>
      </w:pPr>
      <w:proofErr w:type="gramStart"/>
      <w:r w:rsidRPr="001C2D1C">
        <w:rPr>
          <w:rFonts w:cs="Times New Roman"/>
          <w:szCs w:val="24"/>
        </w:rPr>
        <w:t>c</w:t>
      </w:r>
      <w:proofErr w:type="gramEnd"/>
      <w:r w:rsidRPr="001C2D1C">
        <w:rPr>
          <w:rFonts w:cs="Times New Roman"/>
          <w:szCs w:val="24"/>
        </w:rPr>
        <w:t xml:space="preserve"> relate well to the form, proportion, composition, scale and character of surrounding buildings, urban grain and public realm (including landscape features), particularly at street level;  </w:t>
      </w:r>
    </w:p>
    <w:p w:rsidR="001C2D1C" w:rsidRDefault="001C2D1C" w:rsidP="001C2D1C">
      <w:pPr>
        <w:shd w:val="clear" w:color="auto" w:fill="FFFFFF"/>
        <w:spacing w:after="0" w:line="240" w:lineRule="auto"/>
        <w:ind w:left="2160"/>
        <w:rPr>
          <w:rFonts w:cs="Times New Roman"/>
          <w:szCs w:val="24"/>
        </w:rPr>
      </w:pPr>
      <w:r>
        <w:rPr>
          <w:rFonts w:cs="Times New Roman"/>
          <w:szCs w:val="24"/>
        </w:rPr>
        <w:t>….</w:t>
      </w:r>
    </w:p>
    <w:p w:rsidR="0037550C" w:rsidRDefault="00D045EE" w:rsidP="0037550C">
      <w:pPr>
        <w:pStyle w:val="ListParagraph"/>
        <w:numPr>
          <w:ilvl w:val="0"/>
          <w:numId w:val="9"/>
        </w:numPr>
        <w:shd w:val="clear" w:color="auto" w:fill="FFFFFF"/>
        <w:spacing w:after="0" w:line="240" w:lineRule="auto"/>
        <w:rPr>
          <w:rFonts w:eastAsia="Times New Roman" w:cs="Times New Roman"/>
          <w:color w:val="000000"/>
          <w:sz w:val="28"/>
          <w:szCs w:val="28"/>
          <w:lang w:eastAsia="en-GB"/>
        </w:rPr>
      </w:pPr>
      <w:r>
        <w:rPr>
          <w:rFonts w:eastAsia="Times New Roman" w:cs="Times New Roman"/>
          <w:color w:val="000000"/>
          <w:sz w:val="28"/>
          <w:szCs w:val="28"/>
          <w:lang w:eastAsia="en-GB"/>
        </w:rPr>
        <w:t>Backed up by LLP Policy Q26, y</w:t>
      </w:r>
      <w:r w:rsidR="0037550C">
        <w:rPr>
          <w:rFonts w:eastAsia="Times New Roman" w:cs="Times New Roman"/>
          <w:color w:val="000000"/>
          <w:sz w:val="28"/>
          <w:szCs w:val="28"/>
          <w:lang w:eastAsia="en-GB"/>
        </w:rPr>
        <w:t xml:space="preserve">ou only have to read this to see how the application fails repeatedly – not in the OA, not in the CAZ, not identified in LLP, no strategy, just an opportunist one off, </w:t>
      </w:r>
      <w:proofErr w:type="spellStart"/>
      <w:r w:rsidR="0037550C">
        <w:rPr>
          <w:rFonts w:eastAsia="Times New Roman" w:cs="Times New Roman"/>
          <w:color w:val="000000"/>
          <w:sz w:val="28"/>
          <w:szCs w:val="28"/>
          <w:lang w:eastAsia="en-GB"/>
        </w:rPr>
        <w:t>adverse affect</w:t>
      </w:r>
      <w:proofErr w:type="spellEnd"/>
      <w:r w:rsidR="0037550C">
        <w:rPr>
          <w:rFonts w:eastAsia="Times New Roman" w:cs="Times New Roman"/>
          <w:color w:val="000000"/>
          <w:sz w:val="28"/>
          <w:szCs w:val="28"/>
          <w:lang w:eastAsia="en-GB"/>
        </w:rPr>
        <w:t xml:space="preserve"> on character, ill relation to surroundings, PTAL as little as 2!</w:t>
      </w:r>
    </w:p>
    <w:p w:rsidR="0037550C" w:rsidRDefault="0037550C" w:rsidP="0037550C">
      <w:pPr>
        <w:pStyle w:val="ListParagraph"/>
        <w:numPr>
          <w:ilvl w:val="0"/>
          <w:numId w:val="9"/>
        </w:numPr>
        <w:shd w:val="clear" w:color="auto" w:fill="FFFFFF"/>
        <w:spacing w:after="0" w:line="240" w:lineRule="auto"/>
        <w:rPr>
          <w:rFonts w:eastAsia="Times New Roman" w:cs="Times New Roman"/>
          <w:color w:val="000000"/>
          <w:sz w:val="28"/>
          <w:szCs w:val="28"/>
          <w:lang w:eastAsia="en-GB"/>
        </w:rPr>
      </w:pPr>
      <w:r>
        <w:rPr>
          <w:rFonts w:eastAsia="Times New Roman" w:cs="Times New Roman"/>
          <w:color w:val="000000"/>
          <w:sz w:val="28"/>
          <w:szCs w:val="28"/>
          <w:lang w:eastAsia="en-GB"/>
        </w:rPr>
        <w:t>If you allow the weasel “generally” to permit this break out of tall towers, you will create a precedent for the whole of this part of North Lambeth, which developers will exploit ruthlessly</w:t>
      </w:r>
      <w:r w:rsidR="00D05AD1">
        <w:rPr>
          <w:rFonts w:eastAsia="Times New Roman" w:cs="Times New Roman"/>
          <w:color w:val="000000"/>
          <w:sz w:val="28"/>
          <w:szCs w:val="28"/>
          <w:lang w:eastAsia="en-GB"/>
        </w:rPr>
        <w:t xml:space="preserve"> – you have been warned.</w:t>
      </w:r>
    </w:p>
    <w:p w:rsidR="00D05AD1" w:rsidRDefault="00D05AD1" w:rsidP="0037550C">
      <w:pPr>
        <w:pStyle w:val="ListParagraph"/>
        <w:numPr>
          <w:ilvl w:val="0"/>
          <w:numId w:val="9"/>
        </w:numPr>
        <w:shd w:val="clear" w:color="auto" w:fill="FFFFFF"/>
        <w:spacing w:after="0" w:line="240" w:lineRule="auto"/>
        <w:rPr>
          <w:rFonts w:eastAsia="Times New Roman" w:cs="Times New Roman"/>
          <w:color w:val="000000"/>
          <w:sz w:val="28"/>
          <w:szCs w:val="28"/>
          <w:lang w:eastAsia="en-GB"/>
        </w:rPr>
      </w:pPr>
      <w:r>
        <w:rPr>
          <w:rFonts w:eastAsia="Times New Roman" w:cs="Times New Roman"/>
          <w:color w:val="000000"/>
          <w:sz w:val="28"/>
          <w:szCs w:val="28"/>
          <w:lang w:eastAsia="en-GB"/>
        </w:rPr>
        <w:lastRenderedPageBreak/>
        <w:t>The GLA regarded the original offer of £100,000 for offsite affordable housing as very modest (Officer Report para 4.2.4(1), and the final offer of £236,203 is hardly much better, not even buying a studio flat in the neighbourhood. Can we, as the interested public, check the assumptions made in concluding that this is a fair result?</w:t>
      </w:r>
    </w:p>
    <w:p w:rsidR="00D05AD1" w:rsidRDefault="00D05AD1" w:rsidP="0037550C">
      <w:pPr>
        <w:pStyle w:val="ListParagraph"/>
        <w:numPr>
          <w:ilvl w:val="0"/>
          <w:numId w:val="9"/>
        </w:numPr>
        <w:shd w:val="clear" w:color="auto" w:fill="FFFFFF"/>
        <w:spacing w:after="0" w:line="240" w:lineRule="auto"/>
        <w:rPr>
          <w:rFonts w:eastAsia="Times New Roman" w:cs="Times New Roman"/>
          <w:color w:val="000000"/>
          <w:sz w:val="28"/>
          <w:szCs w:val="28"/>
          <w:lang w:eastAsia="en-GB"/>
        </w:rPr>
      </w:pPr>
      <w:r>
        <w:rPr>
          <w:rFonts w:eastAsia="Times New Roman" w:cs="Times New Roman"/>
          <w:color w:val="000000"/>
          <w:sz w:val="28"/>
          <w:szCs w:val="28"/>
          <w:lang w:eastAsia="en-GB"/>
        </w:rPr>
        <w:t>No we cannot, because Lambeth and the developer are keeping the viability studies secret. In March 2016 the Mayor gave the following guidance</w:t>
      </w:r>
      <w:r w:rsidR="00F33179">
        <w:rPr>
          <w:rFonts w:eastAsia="Times New Roman" w:cs="Times New Roman"/>
          <w:color w:val="000000"/>
          <w:sz w:val="28"/>
          <w:szCs w:val="28"/>
          <w:lang w:eastAsia="en-GB"/>
        </w:rPr>
        <w:t xml:space="preserve"> (Housing SPG para 4.2.2), following an Information Tribunal judgement</w:t>
      </w:r>
      <w:r>
        <w:rPr>
          <w:rFonts w:eastAsia="Times New Roman" w:cs="Times New Roman"/>
          <w:color w:val="000000"/>
          <w:sz w:val="28"/>
          <w:szCs w:val="28"/>
          <w:lang w:eastAsia="en-GB"/>
        </w:rPr>
        <w:t>:</w:t>
      </w:r>
    </w:p>
    <w:p w:rsidR="00F33179" w:rsidRDefault="00F33179" w:rsidP="00F33179">
      <w:pPr>
        <w:ind w:left="1440"/>
        <w:rPr>
          <w:b/>
        </w:rPr>
      </w:pPr>
      <w:r>
        <w:t>“</w:t>
      </w:r>
      <w:r>
        <w:t xml:space="preserve">The Greenwich judgement stated “We find it particularly hard to accept that the pricing and other assumptions embedded in a viability appraisal are none of the public’s business. Public understanding of the issues fails at the starting line if such information is concealed”. </w:t>
      </w:r>
      <w:r w:rsidRPr="00F33179">
        <w:rPr>
          <w:b/>
        </w:rPr>
        <w:t>Therefore, the Mayor encourages the transparency of information to increase public trust in the planning process and asks developers to keep confidential information to a minimum.</w:t>
      </w:r>
      <w:r>
        <w:rPr>
          <w:b/>
        </w:rPr>
        <w:t>”</w:t>
      </w:r>
    </w:p>
    <w:p w:rsidR="00F33179" w:rsidRPr="001955F5" w:rsidRDefault="00315734" w:rsidP="00F33179">
      <w:pPr>
        <w:pStyle w:val="ListParagraph"/>
        <w:numPr>
          <w:ilvl w:val="0"/>
          <w:numId w:val="10"/>
        </w:numPr>
        <w:rPr>
          <w:b/>
          <w:sz w:val="28"/>
          <w:szCs w:val="28"/>
        </w:rPr>
      </w:pPr>
      <w:r w:rsidRPr="00315734">
        <w:rPr>
          <w:sz w:val="28"/>
          <w:szCs w:val="28"/>
        </w:rPr>
        <w:t>But Lambeth continues to be prepared to receive such material on confidential terms, as in this case, inhibiting proper “public understanding”</w:t>
      </w:r>
      <w:r>
        <w:rPr>
          <w:sz w:val="28"/>
          <w:szCs w:val="28"/>
        </w:rPr>
        <w:t xml:space="preserve">. </w:t>
      </w:r>
      <w:r w:rsidRPr="001955F5">
        <w:rPr>
          <w:b/>
          <w:sz w:val="28"/>
          <w:szCs w:val="28"/>
        </w:rPr>
        <w:t>Lambeth is well behind the curve here, and should follow the lead of boroughs such as Islington, which insists on transparency.</w:t>
      </w:r>
    </w:p>
    <w:p w:rsidR="00315734" w:rsidRDefault="00315734" w:rsidP="00F33179">
      <w:pPr>
        <w:pStyle w:val="ListParagraph"/>
        <w:numPr>
          <w:ilvl w:val="0"/>
          <w:numId w:val="10"/>
        </w:numPr>
        <w:rPr>
          <w:sz w:val="28"/>
          <w:szCs w:val="28"/>
        </w:rPr>
      </w:pPr>
      <w:r>
        <w:rPr>
          <w:sz w:val="28"/>
          <w:szCs w:val="28"/>
        </w:rPr>
        <w:t xml:space="preserve">But in the meantime, as the Committee will have seen the viability studies and we have not, please </w:t>
      </w:r>
      <w:r w:rsidR="00D045EE">
        <w:rPr>
          <w:sz w:val="28"/>
          <w:szCs w:val="28"/>
        </w:rPr>
        <w:t xml:space="preserve">help restore the trust of us </w:t>
      </w:r>
      <w:r>
        <w:rPr>
          <w:sz w:val="28"/>
          <w:szCs w:val="28"/>
        </w:rPr>
        <w:t>the interested public, as regards</w:t>
      </w:r>
    </w:p>
    <w:p w:rsidR="00315734" w:rsidRDefault="00315734" w:rsidP="00315734">
      <w:pPr>
        <w:pStyle w:val="ListParagraph"/>
        <w:numPr>
          <w:ilvl w:val="1"/>
          <w:numId w:val="10"/>
        </w:numPr>
        <w:rPr>
          <w:sz w:val="28"/>
          <w:szCs w:val="28"/>
        </w:rPr>
      </w:pPr>
      <w:r>
        <w:rPr>
          <w:sz w:val="28"/>
          <w:szCs w:val="28"/>
        </w:rPr>
        <w:t xml:space="preserve">Whether the Existing Use Value benchmark is consistent with the </w:t>
      </w:r>
      <w:r w:rsidR="001955F5">
        <w:rPr>
          <w:sz w:val="28"/>
          <w:szCs w:val="28"/>
        </w:rPr>
        <w:t xml:space="preserve">2015 </w:t>
      </w:r>
      <w:r>
        <w:rPr>
          <w:sz w:val="28"/>
          <w:szCs w:val="28"/>
        </w:rPr>
        <w:t>sale price of the leasehold flat</w:t>
      </w:r>
      <w:r w:rsidR="001955F5">
        <w:rPr>
          <w:sz w:val="28"/>
          <w:szCs w:val="28"/>
        </w:rPr>
        <w:t>, and whether the developer is being allowed a 20 or 30% uplift on it, despite being a developer already in possession</w:t>
      </w:r>
    </w:p>
    <w:p w:rsidR="001955F5" w:rsidRDefault="001955F5" w:rsidP="00315734">
      <w:pPr>
        <w:pStyle w:val="ListParagraph"/>
        <w:numPr>
          <w:ilvl w:val="1"/>
          <w:numId w:val="10"/>
        </w:numPr>
        <w:rPr>
          <w:sz w:val="28"/>
          <w:szCs w:val="28"/>
        </w:rPr>
      </w:pPr>
      <w:r>
        <w:rPr>
          <w:sz w:val="28"/>
          <w:szCs w:val="28"/>
        </w:rPr>
        <w:t>How the construction cost estimate relates to the Mayor’s toolkit benchmark for towers of this height</w:t>
      </w:r>
    </w:p>
    <w:p w:rsidR="001955F5" w:rsidRDefault="001955F5" w:rsidP="00315734">
      <w:pPr>
        <w:pStyle w:val="ListParagraph"/>
        <w:numPr>
          <w:ilvl w:val="1"/>
          <w:numId w:val="10"/>
        </w:numPr>
        <w:rPr>
          <w:sz w:val="28"/>
          <w:szCs w:val="28"/>
        </w:rPr>
      </w:pPr>
      <w:r>
        <w:rPr>
          <w:sz w:val="28"/>
          <w:szCs w:val="28"/>
        </w:rPr>
        <w:t>As the intention is to rent out, rather than sell the flats, what rentals, and what discount rate is being assumed to value the final development, and</w:t>
      </w:r>
    </w:p>
    <w:p w:rsidR="001955F5" w:rsidRDefault="001955F5" w:rsidP="001955F5">
      <w:pPr>
        <w:pStyle w:val="ListParagraph"/>
        <w:numPr>
          <w:ilvl w:val="1"/>
          <w:numId w:val="10"/>
        </w:numPr>
        <w:rPr>
          <w:sz w:val="28"/>
          <w:szCs w:val="28"/>
        </w:rPr>
      </w:pPr>
      <w:r>
        <w:rPr>
          <w:sz w:val="28"/>
          <w:szCs w:val="28"/>
        </w:rPr>
        <w:t>What %profit on this GDV is being allowed to the developer?</w:t>
      </w:r>
    </w:p>
    <w:p w:rsidR="001955F5" w:rsidRDefault="001955F5" w:rsidP="001955F5">
      <w:pPr>
        <w:pStyle w:val="ListParagraph"/>
        <w:numPr>
          <w:ilvl w:val="0"/>
          <w:numId w:val="10"/>
        </w:numPr>
        <w:rPr>
          <w:sz w:val="28"/>
          <w:szCs w:val="28"/>
        </w:rPr>
      </w:pPr>
      <w:r w:rsidRPr="00D045EE">
        <w:rPr>
          <w:b/>
          <w:sz w:val="28"/>
          <w:szCs w:val="28"/>
        </w:rPr>
        <w:t xml:space="preserve">Unless the Committee is satisfied with </w:t>
      </w:r>
      <w:r w:rsidR="00D045EE" w:rsidRPr="00D045EE">
        <w:rPr>
          <w:b/>
          <w:sz w:val="28"/>
          <w:szCs w:val="28"/>
        </w:rPr>
        <w:t>these assumptions, it should regard the affordable housing offer as inadequate,</w:t>
      </w:r>
      <w:r w:rsidR="00D045EE">
        <w:rPr>
          <w:sz w:val="28"/>
          <w:szCs w:val="28"/>
        </w:rPr>
        <w:t xml:space="preserve"> and the development in breach of LLP Policy H2</w:t>
      </w:r>
    </w:p>
    <w:p w:rsidR="00D045EE" w:rsidRPr="001955F5" w:rsidRDefault="00D045EE" w:rsidP="001955F5">
      <w:pPr>
        <w:pStyle w:val="ListParagraph"/>
        <w:numPr>
          <w:ilvl w:val="0"/>
          <w:numId w:val="10"/>
        </w:numPr>
        <w:rPr>
          <w:sz w:val="28"/>
          <w:szCs w:val="28"/>
        </w:rPr>
      </w:pPr>
      <w:r>
        <w:rPr>
          <w:b/>
          <w:sz w:val="28"/>
          <w:szCs w:val="28"/>
        </w:rPr>
        <w:t>So, reject this development, and add breach of MALP 7.4 and 7.7, and LLP Q2, Q7, Q26 (and subject to the above, H2) to the charge sheet.</w:t>
      </w:r>
    </w:p>
    <w:p w:rsidR="00D05AD1" w:rsidRPr="00D05AD1" w:rsidRDefault="00D05AD1" w:rsidP="00D05AD1">
      <w:pPr>
        <w:shd w:val="clear" w:color="auto" w:fill="FFFFFF"/>
        <w:spacing w:after="0" w:line="240" w:lineRule="auto"/>
        <w:ind w:left="1440"/>
        <w:rPr>
          <w:rFonts w:eastAsia="Times New Roman" w:cs="Times New Roman"/>
          <w:color w:val="000000"/>
          <w:szCs w:val="24"/>
          <w:lang w:eastAsia="en-GB"/>
        </w:rPr>
      </w:pPr>
    </w:p>
    <w:p w:rsidR="00A55B02" w:rsidRDefault="00692D4A" w:rsidP="00692D4A">
      <w:pPr>
        <w:pStyle w:val="NoSpacing"/>
      </w:pPr>
      <w:r>
        <w:t>David Boardman</w:t>
      </w:r>
      <w:r w:rsidR="009A7A64">
        <w:t xml:space="preserve">                                                                                                                </w:t>
      </w:r>
      <w:r w:rsidR="00D045EE">
        <w:t>10</w:t>
      </w:r>
      <w:bookmarkStart w:id="0" w:name="_GoBack"/>
      <w:bookmarkEnd w:id="0"/>
      <w:r w:rsidR="009A7A64">
        <w:t xml:space="preserve"> October 2016</w:t>
      </w:r>
    </w:p>
    <w:p w:rsidR="00692D4A" w:rsidRDefault="00692D4A" w:rsidP="00692D4A">
      <w:pPr>
        <w:pStyle w:val="NoSpacing"/>
      </w:pPr>
      <w:r>
        <w:t>Kennington Oval and Vauxhall Forum</w:t>
      </w:r>
      <w:r w:rsidR="009A7A64">
        <w:t xml:space="preserve"> </w:t>
      </w:r>
    </w:p>
    <w:sectPr w:rsidR="00692D4A" w:rsidSect="00CA3D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3F02"/>
    <w:multiLevelType w:val="multilevel"/>
    <w:tmpl w:val="E542B47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1797612"/>
    <w:multiLevelType w:val="multilevel"/>
    <w:tmpl w:val="A10C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B38C1"/>
    <w:multiLevelType w:val="multilevel"/>
    <w:tmpl w:val="ED26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1F27E0"/>
    <w:multiLevelType w:val="multilevel"/>
    <w:tmpl w:val="EF4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E30B4"/>
    <w:multiLevelType w:val="multilevel"/>
    <w:tmpl w:val="6670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60670F"/>
    <w:multiLevelType w:val="hybridMultilevel"/>
    <w:tmpl w:val="CA3CF2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0E26E78"/>
    <w:multiLevelType w:val="hybridMultilevel"/>
    <w:tmpl w:val="5322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E20F0"/>
    <w:multiLevelType w:val="multilevel"/>
    <w:tmpl w:val="8A92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DC22DC"/>
    <w:multiLevelType w:val="hybridMultilevel"/>
    <w:tmpl w:val="FD9C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167F9"/>
    <w:multiLevelType w:val="multilevel"/>
    <w:tmpl w:val="FFD8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2"/>
  </w:num>
  <w:num w:numId="4">
    <w:abstractNumId w:val="0"/>
  </w:num>
  <w:num w:numId="5">
    <w:abstractNumId w:val="7"/>
  </w:num>
  <w:num w:numId="6">
    <w:abstractNumId w:val="1"/>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6D"/>
    <w:rsid w:val="0009648A"/>
    <w:rsid w:val="001955F5"/>
    <w:rsid w:val="001C2D1C"/>
    <w:rsid w:val="00315734"/>
    <w:rsid w:val="003538D0"/>
    <w:rsid w:val="0037550C"/>
    <w:rsid w:val="003D66EC"/>
    <w:rsid w:val="003D702F"/>
    <w:rsid w:val="0045292A"/>
    <w:rsid w:val="00692D4A"/>
    <w:rsid w:val="008144AD"/>
    <w:rsid w:val="0085016D"/>
    <w:rsid w:val="009A7A64"/>
    <w:rsid w:val="00A55B02"/>
    <w:rsid w:val="00A71CA5"/>
    <w:rsid w:val="00BD54EA"/>
    <w:rsid w:val="00CA3D15"/>
    <w:rsid w:val="00D045EE"/>
    <w:rsid w:val="00D05AD1"/>
    <w:rsid w:val="00DE50EF"/>
    <w:rsid w:val="00DF6E1B"/>
    <w:rsid w:val="00F33179"/>
    <w:rsid w:val="00F90C63"/>
    <w:rsid w:val="00F92442"/>
    <w:rsid w:val="00F9513E"/>
    <w:rsid w:val="00FD5BD2"/>
    <w:rsid w:val="00FE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83FC8-5274-43E9-A248-361394B8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1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E1B"/>
    <w:pPr>
      <w:spacing w:after="0" w:line="240" w:lineRule="auto"/>
    </w:pPr>
    <w:rPr>
      <w:rFonts w:ascii="Times New Roman" w:hAnsi="Times New Roman"/>
      <w:sz w:val="24"/>
    </w:rPr>
  </w:style>
  <w:style w:type="paragraph" w:styleId="ListParagraph">
    <w:name w:val="List Paragraph"/>
    <w:basedOn w:val="Normal"/>
    <w:uiPriority w:val="34"/>
    <w:qFormat/>
    <w:rsid w:val="009A7A64"/>
    <w:pPr>
      <w:ind w:left="720"/>
      <w:contextualSpacing/>
    </w:pPr>
  </w:style>
  <w:style w:type="paragraph" w:customStyle="1" w:styleId="Default">
    <w:name w:val="Default"/>
    <w:rsid w:val="001C2D1C"/>
    <w:pPr>
      <w:autoSpaceDE w:val="0"/>
      <w:autoSpaceDN w:val="0"/>
      <w:adjustRightInd w:val="0"/>
      <w:spacing w:after="0" w:line="240" w:lineRule="auto"/>
    </w:pPr>
    <w:rPr>
      <w:rFonts w:ascii="Foundry Form Sans" w:hAnsi="Foundry Form Sans" w:cs="Foundry Form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2430">
      <w:bodyDiv w:val="1"/>
      <w:marLeft w:val="0"/>
      <w:marRight w:val="0"/>
      <w:marTop w:val="0"/>
      <w:marBottom w:val="0"/>
      <w:divBdr>
        <w:top w:val="none" w:sz="0" w:space="0" w:color="auto"/>
        <w:left w:val="none" w:sz="0" w:space="0" w:color="auto"/>
        <w:bottom w:val="none" w:sz="0" w:space="0" w:color="auto"/>
        <w:right w:val="none" w:sz="0" w:space="0" w:color="auto"/>
      </w:divBdr>
      <w:divsChild>
        <w:div w:id="838693546">
          <w:marLeft w:val="0"/>
          <w:marRight w:val="0"/>
          <w:marTop w:val="0"/>
          <w:marBottom w:val="0"/>
          <w:divBdr>
            <w:top w:val="none" w:sz="0" w:space="0" w:color="auto"/>
            <w:left w:val="none" w:sz="0" w:space="0" w:color="auto"/>
            <w:bottom w:val="none" w:sz="0" w:space="0" w:color="auto"/>
            <w:right w:val="none" w:sz="0" w:space="0" w:color="auto"/>
          </w:divBdr>
        </w:div>
        <w:div w:id="601180948">
          <w:marLeft w:val="0"/>
          <w:marRight w:val="0"/>
          <w:marTop w:val="0"/>
          <w:marBottom w:val="0"/>
          <w:divBdr>
            <w:top w:val="none" w:sz="0" w:space="0" w:color="auto"/>
            <w:left w:val="none" w:sz="0" w:space="0" w:color="auto"/>
            <w:bottom w:val="none" w:sz="0" w:space="0" w:color="auto"/>
            <w:right w:val="none" w:sz="0" w:space="0" w:color="auto"/>
          </w:divBdr>
          <w:divsChild>
            <w:div w:id="1612935163">
              <w:marLeft w:val="0"/>
              <w:marRight w:val="0"/>
              <w:marTop w:val="0"/>
              <w:marBottom w:val="0"/>
              <w:divBdr>
                <w:top w:val="none" w:sz="0" w:space="0" w:color="auto"/>
                <w:left w:val="none" w:sz="0" w:space="0" w:color="auto"/>
                <w:bottom w:val="none" w:sz="0" w:space="0" w:color="auto"/>
                <w:right w:val="none" w:sz="0" w:space="0" w:color="auto"/>
              </w:divBdr>
            </w:div>
            <w:div w:id="1868323100">
              <w:marLeft w:val="0"/>
              <w:marRight w:val="0"/>
              <w:marTop w:val="0"/>
              <w:marBottom w:val="0"/>
              <w:divBdr>
                <w:top w:val="none" w:sz="0" w:space="0" w:color="auto"/>
                <w:left w:val="none" w:sz="0" w:space="0" w:color="auto"/>
                <w:bottom w:val="none" w:sz="0" w:space="0" w:color="auto"/>
                <w:right w:val="none" w:sz="0" w:space="0" w:color="auto"/>
              </w:divBdr>
            </w:div>
            <w:div w:id="2081713580">
              <w:marLeft w:val="0"/>
              <w:marRight w:val="0"/>
              <w:marTop w:val="0"/>
              <w:marBottom w:val="0"/>
              <w:divBdr>
                <w:top w:val="none" w:sz="0" w:space="0" w:color="auto"/>
                <w:left w:val="none" w:sz="0" w:space="0" w:color="auto"/>
                <w:bottom w:val="none" w:sz="0" w:space="0" w:color="auto"/>
                <w:right w:val="none" w:sz="0" w:space="0" w:color="auto"/>
              </w:divBdr>
            </w:div>
            <w:div w:id="1103107239">
              <w:marLeft w:val="0"/>
              <w:marRight w:val="0"/>
              <w:marTop w:val="0"/>
              <w:marBottom w:val="0"/>
              <w:divBdr>
                <w:top w:val="none" w:sz="0" w:space="0" w:color="auto"/>
                <w:left w:val="none" w:sz="0" w:space="0" w:color="auto"/>
                <w:bottom w:val="none" w:sz="0" w:space="0" w:color="auto"/>
                <w:right w:val="none" w:sz="0" w:space="0" w:color="auto"/>
              </w:divBdr>
            </w:div>
            <w:div w:id="281234277">
              <w:marLeft w:val="0"/>
              <w:marRight w:val="0"/>
              <w:marTop w:val="0"/>
              <w:marBottom w:val="0"/>
              <w:divBdr>
                <w:top w:val="none" w:sz="0" w:space="0" w:color="auto"/>
                <w:left w:val="none" w:sz="0" w:space="0" w:color="auto"/>
                <w:bottom w:val="none" w:sz="0" w:space="0" w:color="auto"/>
                <w:right w:val="none" w:sz="0" w:space="0" w:color="auto"/>
              </w:divBdr>
            </w:div>
            <w:div w:id="505437802">
              <w:marLeft w:val="0"/>
              <w:marRight w:val="0"/>
              <w:marTop w:val="0"/>
              <w:marBottom w:val="0"/>
              <w:divBdr>
                <w:top w:val="none" w:sz="0" w:space="0" w:color="auto"/>
                <w:left w:val="none" w:sz="0" w:space="0" w:color="auto"/>
                <w:bottom w:val="none" w:sz="0" w:space="0" w:color="auto"/>
                <w:right w:val="none" w:sz="0" w:space="0" w:color="auto"/>
              </w:divBdr>
            </w:div>
          </w:divsChild>
        </w:div>
        <w:div w:id="688795512">
          <w:blockQuote w:val="1"/>
          <w:marLeft w:val="600"/>
          <w:marRight w:val="0"/>
          <w:marTop w:val="240"/>
          <w:marBottom w:val="240"/>
          <w:divBdr>
            <w:top w:val="none" w:sz="0" w:space="0" w:color="auto"/>
            <w:left w:val="none" w:sz="0" w:space="0" w:color="auto"/>
            <w:bottom w:val="none" w:sz="0" w:space="0" w:color="auto"/>
            <w:right w:val="none" w:sz="0" w:space="0" w:color="auto"/>
          </w:divBdr>
          <w:divsChild>
            <w:div w:id="1694115709">
              <w:marLeft w:val="0"/>
              <w:marRight w:val="0"/>
              <w:marTop w:val="0"/>
              <w:marBottom w:val="0"/>
              <w:divBdr>
                <w:top w:val="none" w:sz="0" w:space="0" w:color="auto"/>
                <w:left w:val="none" w:sz="0" w:space="0" w:color="auto"/>
                <w:bottom w:val="none" w:sz="0" w:space="0" w:color="auto"/>
                <w:right w:val="none" w:sz="0" w:space="0" w:color="auto"/>
              </w:divBdr>
            </w:div>
            <w:div w:id="1811361806">
              <w:marLeft w:val="0"/>
              <w:marRight w:val="0"/>
              <w:marTop w:val="0"/>
              <w:marBottom w:val="0"/>
              <w:divBdr>
                <w:top w:val="none" w:sz="0" w:space="0" w:color="auto"/>
                <w:left w:val="none" w:sz="0" w:space="0" w:color="auto"/>
                <w:bottom w:val="none" w:sz="0" w:space="0" w:color="auto"/>
                <w:right w:val="none" w:sz="0" w:space="0" w:color="auto"/>
              </w:divBdr>
            </w:div>
          </w:divsChild>
        </w:div>
        <w:div w:id="1413893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dcterms:created xsi:type="dcterms:W3CDTF">2016-10-07T14:01:00Z</dcterms:created>
  <dcterms:modified xsi:type="dcterms:W3CDTF">2016-10-10T08:18:00Z</dcterms:modified>
</cp:coreProperties>
</file>